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CE4" w:rsidRPr="003000FA" w:rsidRDefault="0096385C" w:rsidP="00A470A0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APPENDIX 1</w:t>
      </w:r>
    </w:p>
    <w:p w:rsidR="00291D48" w:rsidRDefault="00291D48" w:rsidP="00A470A0">
      <w:pPr>
        <w:jc w:val="center"/>
        <w:rPr>
          <w:rFonts w:ascii="Arial" w:hAnsi="Arial" w:cs="Arial"/>
          <w:b/>
          <w:sz w:val="32"/>
          <w:szCs w:val="32"/>
        </w:rPr>
      </w:pPr>
      <w:r w:rsidRPr="003000FA">
        <w:rPr>
          <w:rFonts w:ascii="Arial" w:hAnsi="Arial" w:cs="Arial"/>
          <w:b/>
          <w:sz w:val="32"/>
          <w:szCs w:val="32"/>
        </w:rPr>
        <w:t>ACTION PLAN</w:t>
      </w:r>
    </w:p>
    <w:p w:rsidR="003000FA" w:rsidRPr="003000FA" w:rsidRDefault="003000FA">
      <w:pPr>
        <w:rPr>
          <w:rFonts w:ascii="Arial" w:hAnsi="Arial" w:cs="Arial"/>
          <w:b/>
          <w:sz w:val="32"/>
          <w:szCs w:val="32"/>
        </w:rPr>
      </w:pPr>
    </w:p>
    <w:p w:rsidR="003000FA" w:rsidRDefault="003000FA">
      <w:pPr>
        <w:rPr>
          <w:rFonts w:ascii="Arial" w:hAnsi="Arial" w:cs="Arial"/>
          <w:sz w:val="28"/>
          <w:szCs w:val="28"/>
        </w:rPr>
      </w:pPr>
      <w:r w:rsidRPr="003000FA">
        <w:rPr>
          <w:rFonts w:ascii="Arial" w:hAnsi="Arial" w:cs="Arial"/>
          <w:sz w:val="28"/>
          <w:szCs w:val="28"/>
        </w:rPr>
        <w:t>Purpose - To further develop and strengthen the Council’s information management practices.</w:t>
      </w:r>
    </w:p>
    <w:p w:rsidR="003000FA" w:rsidRPr="003000FA" w:rsidRDefault="003000FA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1559"/>
        <w:gridCol w:w="2552"/>
      </w:tblGrid>
      <w:tr w:rsidR="009E20E9" w:rsidTr="00EE6587">
        <w:tc>
          <w:tcPr>
            <w:tcW w:w="4106" w:type="dxa"/>
          </w:tcPr>
          <w:p w:rsidR="009E20E9" w:rsidRDefault="009E20E9">
            <w:r>
              <w:t>Action</w:t>
            </w:r>
          </w:p>
        </w:tc>
        <w:tc>
          <w:tcPr>
            <w:tcW w:w="1559" w:type="dxa"/>
          </w:tcPr>
          <w:p w:rsidR="009E20E9" w:rsidRDefault="009E20E9">
            <w:r>
              <w:t>Lead Officer(s)</w:t>
            </w:r>
          </w:p>
        </w:tc>
        <w:tc>
          <w:tcPr>
            <w:tcW w:w="2552" w:type="dxa"/>
          </w:tcPr>
          <w:p w:rsidR="009E20E9" w:rsidRDefault="009E20E9">
            <w:r>
              <w:t>Target Date for Completion</w:t>
            </w:r>
          </w:p>
        </w:tc>
      </w:tr>
      <w:tr w:rsidR="009E20E9" w:rsidTr="00EE6587">
        <w:tc>
          <w:tcPr>
            <w:tcW w:w="4106" w:type="dxa"/>
          </w:tcPr>
          <w:p w:rsidR="003000FA" w:rsidRDefault="003000FA" w:rsidP="003000FA">
            <w:pPr>
              <w:pStyle w:val="ListParagraph"/>
              <w:spacing w:after="0" w:line="240" w:lineRule="auto"/>
              <w:ind w:left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review and update the Council’s information management / security policy</w:t>
            </w:r>
          </w:p>
          <w:p w:rsidR="009E20E9" w:rsidRDefault="009E20E9"/>
        </w:tc>
        <w:tc>
          <w:tcPr>
            <w:tcW w:w="1559" w:type="dxa"/>
          </w:tcPr>
          <w:p w:rsidR="009E20E9" w:rsidRDefault="003000FA">
            <w:r>
              <w:t>John Healey</w:t>
            </w:r>
          </w:p>
        </w:tc>
        <w:tc>
          <w:tcPr>
            <w:tcW w:w="2552" w:type="dxa"/>
          </w:tcPr>
          <w:p w:rsidR="009E20E9" w:rsidRDefault="00A93613" w:rsidP="00A93613">
            <w:r>
              <w:t>Complete.  The Council</w:t>
            </w:r>
            <w:r w:rsidR="004B06C4">
              <w:t>’</w:t>
            </w:r>
            <w:r>
              <w:t>s Information Security Policy and Re</w:t>
            </w:r>
            <w:r w:rsidR="00EE6587">
              <w:t>cords Management policy was recently</w:t>
            </w:r>
            <w:r>
              <w:t xml:space="preserve"> updated and reviewed in March 2016.  It is reviewed, along with all ICT Policies and the ICT Strategy every 3 years</w:t>
            </w:r>
            <w:r w:rsidR="004B06C4">
              <w:t xml:space="preserve"> -</w:t>
            </w:r>
            <w:r>
              <w:t xml:space="preserve"> due next in March 2019.</w:t>
            </w:r>
          </w:p>
          <w:p w:rsidR="000454C8" w:rsidRDefault="000454C8" w:rsidP="00A93613"/>
        </w:tc>
      </w:tr>
      <w:tr w:rsidR="009E20E9" w:rsidTr="00EE6587">
        <w:tc>
          <w:tcPr>
            <w:tcW w:w="4106" w:type="dxa"/>
          </w:tcPr>
          <w:p w:rsidR="003000FA" w:rsidRDefault="003000FA" w:rsidP="003000FA">
            <w:pPr>
              <w:pStyle w:val="ListParagraph"/>
              <w:spacing w:after="0" w:line="240" w:lineRule="auto"/>
              <w:ind w:left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provide mandatory data protection training for members and officers as part of the annual training and development plans</w:t>
            </w:r>
          </w:p>
          <w:p w:rsidR="009E20E9" w:rsidRDefault="009E20E9"/>
        </w:tc>
        <w:tc>
          <w:tcPr>
            <w:tcW w:w="1559" w:type="dxa"/>
          </w:tcPr>
          <w:p w:rsidR="009E20E9" w:rsidRDefault="003000FA">
            <w:r>
              <w:t>John Healey</w:t>
            </w:r>
          </w:p>
        </w:tc>
        <w:tc>
          <w:tcPr>
            <w:tcW w:w="2552" w:type="dxa"/>
          </w:tcPr>
          <w:p w:rsidR="009E20E9" w:rsidRDefault="001024F6">
            <w:r>
              <w:t>30</w:t>
            </w:r>
            <w:r w:rsidRPr="001024F6">
              <w:rPr>
                <w:vertAlign w:val="superscript"/>
              </w:rPr>
              <w:t>th</w:t>
            </w:r>
            <w:r>
              <w:t xml:space="preserve"> September 2017.  We are intending to deliver this mandatory training via MILO.</w:t>
            </w:r>
          </w:p>
          <w:p w:rsidR="000454C8" w:rsidRDefault="000454C8"/>
        </w:tc>
      </w:tr>
      <w:tr w:rsidR="009E20E9" w:rsidTr="00EE6587">
        <w:tc>
          <w:tcPr>
            <w:tcW w:w="4106" w:type="dxa"/>
          </w:tcPr>
          <w:p w:rsidR="003000FA" w:rsidRDefault="003000FA" w:rsidP="003000FA">
            <w:pPr>
              <w:pStyle w:val="ListParagraph"/>
              <w:spacing w:after="0" w:line="240" w:lineRule="auto"/>
              <w:ind w:left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 Audit to carry out a review of information management practices within the Council as part of the annual audit plan and report the results to the Council’s Governance Committee</w:t>
            </w:r>
          </w:p>
          <w:p w:rsidR="009E20E9" w:rsidRDefault="009E20E9"/>
        </w:tc>
        <w:tc>
          <w:tcPr>
            <w:tcW w:w="1559" w:type="dxa"/>
          </w:tcPr>
          <w:p w:rsidR="009E20E9" w:rsidRDefault="003000FA">
            <w:r>
              <w:t>Garry Barclay</w:t>
            </w:r>
          </w:p>
        </w:tc>
        <w:tc>
          <w:tcPr>
            <w:tcW w:w="2552" w:type="dxa"/>
          </w:tcPr>
          <w:p w:rsidR="009E20E9" w:rsidRDefault="000D1FF3" w:rsidP="001F21AB">
            <w:pPr>
              <w:rPr>
                <w:color w:val="000000" w:themeColor="text1"/>
              </w:rPr>
            </w:pPr>
            <w:r w:rsidRPr="000454C8">
              <w:rPr>
                <w:color w:val="000000" w:themeColor="text1"/>
              </w:rPr>
              <w:t>31</w:t>
            </w:r>
            <w:r w:rsidRPr="000454C8">
              <w:rPr>
                <w:color w:val="000000" w:themeColor="text1"/>
                <w:vertAlign w:val="superscript"/>
              </w:rPr>
              <w:t>st</w:t>
            </w:r>
            <w:r w:rsidRPr="000454C8">
              <w:rPr>
                <w:color w:val="000000" w:themeColor="text1"/>
              </w:rPr>
              <w:t xml:space="preserve"> of </w:t>
            </w:r>
            <w:r w:rsidR="001F21AB" w:rsidRPr="000454C8">
              <w:rPr>
                <w:color w:val="000000" w:themeColor="text1"/>
              </w:rPr>
              <w:t xml:space="preserve">March </w:t>
            </w:r>
            <w:r w:rsidRPr="000454C8">
              <w:rPr>
                <w:color w:val="000000" w:themeColor="text1"/>
              </w:rPr>
              <w:t>201</w:t>
            </w:r>
            <w:r w:rsidR="001F21AB" w:rsidRPr="000454C8">
              <w:rPr>
                <w:color w:val="000000" w:themeColor="text1"/>
              </w:rPr>
              <w:t>8. Agreed with the Chair of Governance that the audit will be completed in the final quarter to enable the other actions in this action plan to be implemented and embedded.</w:t>
            </w:r>
          </w:p>
          <w:p w:rsidR="000454C8" w:rsidRDefault="000454C8" w:rsidP="001F21AB"/>
        </w:tc>
      </w:tr>
      <w:tr w:rsidR="009E20E9" w:rsidTr="00EE6587">
        <w:tc>
          <w:tcPr>
            <w:tcW w:w="4106" w:type="dxa"/>
          </w:tcPr>
          <w:p w:rsidR="003000FA" w:rsidRDefault="003000FA" w:rsidP="003000FA">
            <w:pPr>
              <w:pStyle w:val="ListParagraph"/>
              <w:spacing w:after="0" w:line="240" w:lineRule="auto"/>
              <w:ind w:left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guidance to members on the storage, use and destruction of confidential hard copy reports </w:t>
            </w:r>
          </w:p>
          <w:p w:rsidR="009E20E9" w:rsidRDefault="009E20E9" w:rsidP="003000FA">
            <w:pPr>
              <w:pStyle w:val="ListParagraph"/>
              <w:spacing w:after="0" w:line="240" w:lineRule="auto"/>
              <w:ind w:left="254"/>
            </w:pPr>
          </w:p>
        </w:tc>
        <w:tc>
          <w:tcPr>
            <w:tcW w:w="1559" w:type="dxa"/>
          </w:tcPr>
          <w:p w:rsidR="009E20E9" w:rsidRDefault="003000FA">
            <w:r>
              <w:t>John Healey/David Whelan</w:t>
            </w:r>
          </w:p>
        </w:tc>
        <w:tc>
          <w:tcPr>
            <w:tcW w:w="2552" w:type="dxa"/>
          </w:tcPr>
          <w:p w:rsidR="009E20E9" w:rsidRDefault="000D1FF3">
            <w:r>
              <w:t>30</w:t>
            </w:r>
            <w:r w:rsidRPr="000D1FF3">
              <w:rPr>
                <w:vertAlign w:val="superscript"/>
              </w:rPr>
              <w:t>th</w:t>
            </w:r>
            <w:r>
              <w:t xml:space="preserve"> of September 2017</w:t>
            </w:r>
          </w:p>
        </w:tc>
      </w:tr>
      <w:tr w:rsidR="009E20E9" w:rsidTr="00EE6587">
        <w:tc>
          <w:tcPr>
            <w:tcW w:w="4106" w:type="dxa"/>
          </w:tcPr>
          <w:p w:rsidR="003000FA" w:rsidRDefault="003000FA" w:rsidP="003000FA">
            <w:pPr>
              <w:pStyle w:val="ListParagraph"/>
              <w:spacing w:after="0" w:line="240" w:lineRule="auto"/>
              <w:ind w:left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 in place systems for the retrieval and/or confidential destruction of sensitive material distributed to members</w:t>
            </w:r>
          </w:p>
          <w:p w:rsidR="009E20E9" w:rsidRDefault="009E20E9"/>
        </w:tc>
        <w:tc>
          <w:tcPr>
            <w:tcW w:w="1559" w:type="dxa"/>
          </w:tcPr>
          <w:p w:rsidR="009E20E9" w:rsidRDefault="003000FA">
            <w:r>
              <w:t>John Healey/David Whelan</w:t>
            </w:r>
          </w:p>
        </w:tc>
        <w:tc>
          <w:tcPr>
            <w:tcW w:w="2552" w:type="dxa"/>
          </w:tcPr>
          <w:p w:rsidR="009E20E9" w:rsidRDefault="000D1FF3">
            <w:r>
              <w:t>30</w:t>
            </w:r>
            <w:r w:rsidRPr="000D1FF3">
              <w:rPr>
                <w:vertAlign w:val="superscript"/>
              </w:rPr>
              <w:t>th</w:t>
            </w:r>
            <w:r>
              <w:t xml:space="preserve"> of September 2017</w:t>
            </w:r>
          </w:p>
        </w:tc>
      </w:tr>
      <w:tr w:rsidR="009E20E9" w:rsidTr="00EE6587">
        <w:tc>
          <w:tcPr>
            <w:tcW w:w="4106" w:type="dxa"/>
          </w:tcPr>
          <w:p w:rsidR="003000FA" w:rsidRDefault="003000FA" w:rsidP="003000FA">
            <w:pPr>
              <w:pStyle w:val="ListParagraph"/>
              <w:spacing w:after="0" w:line="240" w:lineRule="auto"/>
              <w:ind w:left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review the whistleblowing policy and promote awareness of it.</w:t>
            </w:r>
          </w:p>
          <w:p w:rsidR="009E20E9" w:rsidRDefault="009E20E9"/>
        </w:tc>
        <w:tc>
          <w:tcPr>
            <w:tcW w:w="1559" w:type="dxa"/>
          </w:tcPr>
          <w:p w:rsidR="009E20E9" w:rsidRDefault="003000FA">
            <w:r>
              <w:t>David Whelan</w:t>
            </w:r>
          </w:p>
        </w:tc>
        <w:tc>
          <w:tcPr>
            <w:tcW w:w="2552" w:type="dxa"/>
          </w:tcPr>
          <w:p w:rsidR="009E20E9" w:rsidRDefault="000D1FF3">
            <w:r>
              <w:t>30</w:t>
            </w:r>
            <w:r w:rsidRPr="000D1FF3">
              <w:rPr>
                <w:vertAlign w:val="superscript"/>
              </w:rPr>
              <w:t>th</w:t>
            </w:r>
            <w:r>
              <w:t xml:space="preserve"> of September 2017</w:t>
            </w:r>
          </w:p>
        </w:tc>
      </w:tr>
      <w:tr w:rsidR="00426170" w:rsidTr="00EE6587">
        <w:tc>
          <w:tcPr>
            <w:tcW w:w="4106" w:type="dxa"/>
          </w:tcPr>
          <w:p w:rsidR="00426170" w:rsidRPr="00426170" w:rsidRDefault="00426170" w:rsidP="00426170">
            <w:pPr>
              <w:rPr>
                <w:rFonts w:ascii="Arial" w:hAnsi="Arial" w:cs="Arial"/>
                <w:sz w:val="20"/>
                <w:szCs w:val="20"/>
              </w:rPr>
            </w:pPr>
            <w:r w:rsidRPr="00426170">
              <w:rPr>
                <w:rFonts w:ascii="Arial" w:hAnsi="Arial" w:cs="Arial"/>
                <w:sz w:val="20"/>
                <w:szCs w:val="20"/>
              </w:rPr>
              <w:t>To review our arrangements for handling and distributing confidential data/reports and to make all necessary amendments to existing policies.</w:t>
            </w:r>
          </w:p>
          <w:p w:rsidR="00426170" w:rsidRPr="00426170" w:rsidRDefault="00426170" w:rsidP="003000FA">
            <w:pPr>
              <w:pStyle w:val="ListParagraph"/>
              <w:spacing w:after="0" w:line="240" w:lineRule="auto"/>
              <w:ind w:left="254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6170" w:rsidRPr="00426170" w:rsidRDefault="00426170">
            <w:pPr>
              <w:rPr>
                <w:rFonts w:ascii="Arial" w:hAnsi="Arial" w:cs="Arial"/>
                <w:sz w:val="20"/>
                <w:szCs w:val="20"/>
              </w:rPr>
            </w:pPr>
            <w:r w:rsidRPr="00426170">
              <w:rPr>
                <w:rFonts w:ascii="Arial" w:hAnsi="Arial" w:cs="Arial"/>
                <w:sz w:val="20"/>
                <w:szCs w:val="20"/>
              </w:rPr>
              <w:t>John Healey/David Whelan</w:t>
            </w:r>
          </w:p>
        </w:tc>
        <w:tc>
          <w:tcPr>
            <w:tcW w:w="2552" w:type="dxa"/>
          </w:tcPr>
          <w:p w:rsidR="00426170" w:rsidRPr="00426170" w:rsidRDefault="00426170">
            <w:pPr>
              <w:rPr>
                <w:rFonts w:ascii="Arial" w:hAnsi="Arial" w:cs="Arial"/>
                <w:sz w:val="20"/>
                <w:szCs w:val="20"/>
              </w:rPr>
            </w:pPr>
            <w:r w:rsidRPr="00426170">
              <w:rPr>
                <w:rFonts w:ascii="Arial" w:hAnsi="Arial" w:cs="Arial"/>
                <w:sz w:val="20"/>
                <w:szCs w:val="20"/>
              </w:rPr>
              <w:t>30</w:t>
            </w:r>
            <w:r w:rsidRPr="0042617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26170">
              <w:rPr>
                <w:rFonts w:ascii="Arial" w:hAnsi="Arial" w:cs="Arial"/>
                <w:sz w:val="20"/>
                <w:szCs w:val="20"/>
              </w:rPr>
              <w:t xml:space="preserve"> of September 2017</w:t>
            </w:r>
          </w:p>
        </w:tc>
      </w:tr>
    </w:tbl>
    <w:p w:rsidR="00A470A0" w:rsidRDefault="00A470A0"/>
    <w:p w:rsidR="000454C8" w:rsidRDefault="000454C8">
      <w:bookmarkStart w:id="0" w:name="_GoBack"/>
      <w:bookmarkEnd w:id="0"/>
    </w:p>
    <w:sectPr w:rsidR="000454C8" w:rsidSect="000454C8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52D27"/>
    <w:multiLevelType w:val="hybridMultilevel"/>
    <w:tmpl w:val="FB685958"/>
    <w:lvl w:ilvl="0" w:tplc="AF864D6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48"/>
    <w:rsid w:val="000454C8"/>
    <w:rsid w:val="000D1FF3"/>
    <w:rsid w:val="001024F6"/>
    <w:rsid w:val="001F21AB"/>
    <w:rsid w:val="00291D48"/>
    <w:rsid w:val="003000FA"/>
    <w:rsid w:val="00426170"/>
    <w:rsid w:val="004B06C4"/>
    <w:rsid w:val="008F12AE"/>
    <w:rsid w:val="0096385C"/>
    <w:rsid w:val="009E20E9"/>
    <w:rsid w:val="00A470A0"/>
    <w:rsid w:val="00A93613"/>
    <w:rsid w:val="00DD3120"/>
    <w:rsid w:val="00E05CE4"/>
    <w:rsid w:val="00EE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85D95E-E9F0-44F8-A585-4510AEE0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00FA"/>
    <w:pPr>
      <w:spacing w:after="200" w:line="276" w:lineRule="auto"/>
      <w:ind w:left="720"/>
      <w:contextualSpacing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Whelan, David</dc:creator>
  <cp:keywords/>
  <dc:description/>
  <cp:lastModifiedBy>Houlker, Andy</cp:lastModifiedBy>
  <cp:revision>6</cp:revision>
  <dcterms:created xsi:type="dcterms:W3CDTF">2017-09-07T16:02:00Z</dcterms:created>
  <dcterms:modified xsi:type="dcterms:W3CDTF">2017-09-12T15:26:00Z</dcterms:modified>
</cp:coreProperties>
</file>